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C0F" w:rsidRDefault="00972506">
      <w:pPr>
        <w:tabs>
          <w:tab w:val="left" w:pos="1100"/>
        </w:tabs>
        <w:spacing w:after="0"/>
        <w:rPr>
          <w:rFonts w:ascii="Trajan Pro" w:hAnsi="Trajan Pro"/>
          <w:b/>
          <w:sz w:val="28"/>
          <w:szCs w:val="28"/>
          <w:lang w:val="ro-RO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4458335</wp:posOffset>
            </wp:positionH>
            <wp:positionV relativeFrom="paragraph">
              <wp:posOffset>32385</wp:posOffset>
            </wp:positionV>
            <wp:extent cx="1986915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-717550</wp:posOffset>
            </wp:positionH>
            <wp:positionV relativeFrom="margin">
              <wp:posOffset>-84455</wp:posOffset>
            </wp:positionV>
            <wp:extent cx="890270" cy="895350"/>
            <wp:effectExtent l="0" t="0" r="5080" b="0"/>
            <wp:wrapTight wrapText="bothSides">
              <wp:wrapPolygon edited="0">
                <wp:start x="6471" y="0"/>
                <wp:lineTo x="3235" y="1838"/>
                <wp:lineTo x="0" y="5515"/>
                <wp:lineTo x="0" y="16085"/>
                <wp:lineTo x="5084" y="21140"/>
                <wp:lineTo x="6471" y="21140"/>
                <wp:lineTo x="14790" y="21140"/>
                <wp:lineTo x="16177" y="21140"/>
                <wp:lineTo x="21261" y="16085"/>
                <wp:lineTo x="21261" y="5515"/>
                <wp:lineTo x="18026" y="1838"/>
                <wp:lineTo x="14790" y="0"/>
                <wp:lineTo x="6471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0C0F" w:rsidRDefault="00972506">
      <w:pPr>
        <w:tabs>
          <w:tab w:val="left" w:pos="1100"/>
        </w:tabs>
        <w:spacing w:after="0"/>
        <w:rPr>
          <w:rFonts w:ascii="Trajan Pro" w:hAnsi="Trajan Pro"/>
          <w:b/>
          <w:sz w:val="28"/>
          <w:szCs w:val="28"/>
          <w:lang w:val="ro-RO"/>
        </w:rPr>
      </w:pPr>
      <w:r>
        <w:rPr>
          <w:rFonts w:ascii="Trajan Pro" w:hAnsi="Trajan Pro"/>
          <w:b/>
          <w:sz w:val="28"/>
          <w:szCs w:val="28"/>
          <w:lang w:val="ro-RO"/>
        </w:rPr>
        <w:t xml:space="preserve">MINISTERUL FINANȚELOR       </w:t>
      </w:r>
    </w:p>
    <w:p w:rsidR="000B0C0F" w:rsidRDefault="000B0C0F">
      <w:pPr>
        <w:spacing w:after="0"/>
        <w:ind w:firstLineChars="50" w:firstLine="120"/>
        <w:rPr>
          <w:rFonts w:ascii="Trebuchet MS" w:hAnsi="Trebuchet MS" w:cs="Arial"/>
          <w:bCs/>
          <w:sz w:val="24"/>
          <w:szCs w:val="24"/>
          <w:lang w:val="ro-RO"/>
        </w:rPr>
      </w:pPr>
    </w:p>
    <w:p w:rsidR="000B0C0F" w:rsidRDefault="000B0C0F" w:rsidP="002B3119">
      <w:pPr>
        <w:spacing w:after="0"/>
        <w:ind w:left="567"/>
        <w:rPr>
          <w:rFonts w:ascii="Trebuchet MS" w:hAnsi="Trebuchet MS" w:cs="Trebuchet MS"/>
          <w:color w:val="000000"/>
          <w:sz w:val="24"/>
          <w:szCs w:val="24"/>
          <w:lang w:val="ro-RO"/>
        </w:rPr>
      </w:pPr>
    </w:p>
    <w:p w:rsidR="002B3119" w:rsidRDefault="002B3119" w:rsidP="002B3119">
      <w:pPr>
        <w:spacing w:after="0" w:line="240" w:lineRule="auto"/>
        <w:ind w:left="567" w:firstLineChars="275" w:firstLine="660"/>
        <w:jc w:val="center"/>
        <w:rPr>
          <w:rFonts w:ascii="Trebuchet MS" w:hAnsi="Trebuchet MS" w:cs="Trebuchet MS"/>
          <w:sz w:val="24"/>
          <w:szCs w:val="24"/>
          <w:lang w:val="pt-BR"/>
        </w:rPr>
      </w:pPr>
      <w:r>
        <w:rPr>
          <w:rFonts w:ascii="Trebuchet MS" w:hAnsi="Trebuchet MS" w:cs="Trebuchet MS"/>
          <w:sz w:val="24"/>
          <w:szCs w:val="24"/>
          <w:lang w:val="pt-BR"/>
        </w:rPr>
        <w:t>R</w:t>
      </w:r>
      <w:r w:rsidR="00972506">
        <w:rPr>
          <w:rFonts w:ascii="Trebuchet MS" w:hAnsi="Trebuchet MS" w:cs="Trebuchet MS"/>
          <w:sz w:val="24"/>
          <w:szCs w:val="24"/>
          <w:lang w:val="pt-BR"/>
        </w:rPr>
        <w:t>eferat de aprobare</w:t>
      </w:r>
    </w:p>
    <w:p w:rsidR="000B0C0F" w:rsidRDefault="00972506" w:rsidP="002B3119">
      <w:pPr>
        <w:spacing w:after="0" w:line="240" w:lineRule="auto"/>
        <w:ind w:left="567"/>
        <w:jc w:val="center"/>
        <w:rPr>
          <w:rFonts w:ascii="Trebuchet MS" w:eastAsia="Times New Roman CE" w:hAnsi="Trebuchet MS" w:cs="Trebuchet MS"/>
          <w:color w:val="000000" w:themeColor="text1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  <w:lang w:val="pt-BR"/>
        </w:rPr>
        <w:t xml:space="preserve">proiect de ordin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pentru modificarea</w:t>
      </w:r>
      <w:r w:rsidR="002B3119">
        <w:rPr>
          <w:rFonts w:ascii="Trebuchet MS" w:hAnsi="Trebuchet MS" w:cs="Trebuchet MS"/>
          <w:color w:val="000000" w:themeColor="text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Anexei la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 Ordinul președintelui Agenţiei Naţionale de</w:t>
      </w:r>
      <w:r w:rsidR="002B3119">
        <w:rPr>
          <w:rFonts w:ascii="Trebuchet MS" w:hAnsi="Trebuchet MS" w:cs="Trebuchet MS"/>
          <w:color w:val="000000" w:themeColor="text1"/>
          <w:sz w:val="24"/>
          <w:szCs w:val="24"/>
        </w:rPr>
        <w:t xml:space="preserve"> </w:t>
      </w:r>
      <w:r w:rsidR="002B3119"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A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dministrare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Fiscală nr.3631/2015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pentru aprobarea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ab/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ab/>
        <w:t xml:space="preserve">         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competenţei teritoriale de administrare</w:t>
      </w:r>
    </w:p>
    <w:p w:rsidR="000B0C0F" w:rsidRDefault="000B0C0F" w:rsidP="002B3119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val="ro-RO"/>
        </w:rPr>
      </w:pPr>
    </w:p>
    <w:p w:rsidR="000B0C0F" w:rsidRDefault="00972506" w:rsidP="002B3119">
      <w:pPr>
        <w:spacing w:line="240" w:lineRule="auto"/>
        <w:ind w:leftChars="257" w:left="565"/>
        <w:jc w:val="both"/>
        <w:rPr>
          <w:rFonts w:ascii="Trebuchet MS" w:hAnsi="Trebuchet MS" w:cs="Trebuchet MS"/>
          <w:color w:val="000000" w:themeColor="text1"/>
          <w:sz w:val="24"/>
          <w:szCs w:val="24"/>
        </w:rPr>
      </w:pPr>
      <w:r>
        <w:rPr>
          <w:rFonts w:ascii="Trebuchet MS" w:hAnsi="Trebuchet MS"/>
          <w:color w:val="000000" w:themeColor="text1"/>
          <w:sz w:val="24"/>
          <w:szCs w:val="24"/>
          <w:lang w:val="ro-RO"/>
        </w:rPr>
        <w:t>P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otrivit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dispozițiilor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art.30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alin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.(1) </w:t>
      </w:r>
      <w:proofErr w:type="gramStart"/>
      <w:r>
        <w:rPr>
          <w:rFonts w:ascii="Trebuchet MS" w:hAnsi="Trebuchet MS"/>
          <w:color w:val="000000" w:themeColor="text1"/>
          <w:sz w:val="24"/>
          <w:szCs w:val="24"/>
        </w:rPr>
        <w:t>din</w:t>
      </w:r>
      <w:proofErr w:type="gramEnd"/>
      <w:r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noul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Cod de procedură fiscală, pentru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administrarea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creanţelor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fiscale</w:t>
      </w:r>
      <w:r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ș</w:t>
      </w:r>
      <w:r>
        <w:rPr>
          <w:rFonts w:ascii="Trebuchet MS" w:hAnsi="Trebuchet MS"/>
          <w:color w:val="000000" w:themeColor="text1"/>
          <w:sz w:val="24"/>
          <w:szCs w:val="24"/>
        </w:rPr>
        <w:t>i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a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altor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creanțe datorate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bugetelor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prevăzute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la art. 29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alin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. (1)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și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(2)</w:t>
      </w:r>
      <w:r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din același act normativ, </w:t>
      </w:r>
      <w:r>
        <w:rPr>
          <w:rFonts w:ascii="Trebuchet MS" w:hAnsi="Trebuchet MS"/>
          <w:color w:val="000000" w:themeColor="text1"/>
          <w:sz w:val="24"/>
          <w:szCs w:val="24"/>
        </w:rPr>
        <w:t xml:space="preserve">competenţa revine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acelui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organ fiscal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teritorial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din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cadrul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Agenției Naționale de Administrare Fiscală,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stabilit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prin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ord</w:t>
      </w:r>
      <w:r>
        <w:rPr>
          <w:rFonts w:ascii="Trebuchet MS" w:hAnsi="Trebuchet MS"/>
          <w:color w:val="000000" w:themeColor="text1"/>
          <w:sz w:val="24"/>
          <w:szCs w:val="24"/>
        </w:rPr>
        <w:t>in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al preşedintelui Agenției Naționale de Administrare Fiscală,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în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a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cărui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rază teritorială se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află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domiciliul fiscal al contribuabilului/</w:t>
      </w:r>
      <w:r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rebuchet MS" w:hAnsi="Trebuchet MS"/>
          <w:color w:val="000000" w:themeColor="text1"/>
          <w:sz w:val="24"/>
          <w:szCs w:val="24"/>
        </w:rPr>
        <w:t>plătitorului.</w:t>
      </w:r>
    </w:p>
    <w:p w:rsidR="000B0C0F" w:rsidRDefault="00972506" w:rsidP="002B3119">
      <w:pPr>
        <w:ind w:leftChars="257" w:left="565"/>
        <w:jc w:val="both"/>
        <w:rPr>
          <w:rFonts w:ascii="Trebuchet MS" w:hAnsi="Trebuchet MS"/>
          <w:color w:val="000000" w:themeColor="text1"/>
          <w:sz w:val="24"/>
          <w:szCs w:val="24"/>
        </w:rPr>
      </w:pP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De asemenea, p</w:t>
      </w:r>
      <w:proofErr w:type="spellStart"/>
      <w:r>
        <w:rPr>
          <w:rFonts w:ascii="Trebuchet MS" w:hAnsi="Trebuchet MS" w:cs="Trebuchet MS"/>
          <w:color w:val="000000" w:themeColor="text1"/>
          <w:sz w:val="24"/>
          <w:szCs w:val="24"/>
        </w:rPr>
        <w:t>otrivit</w:t>
      </w:r>
      <w:proofErr w:type="spellEnd"/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 dispoziţiilor art.13 </w:t>
      </w:r>
      <w:proofErr w:type="spellStart"/>
      <w:r>
        <w:rPr>
          <w:rFonts w:ascii="Trebuchet MS" w:hAnsi="Trebuchet MS" w:cs="Trebuchet MS"/>
          <w:color w:val="000000" w:themeColor="text1"/>
          <w:sz w:val="24"/>
          <w:szCs w:val="24"/>
        </w:rPr>
        <w:t>alin</w:t>
      </w:r>
      <w:proofErr w:type="spellEnd"/>
      <w:r>
        <w:rPr>
          <w:rFonts w:ascii="Trebuchet MS" w:hAnsi="Trebuchet MS" w:cs="Trebuchet MS"/>
          <w:color w:val="000000" w:themeColor="text1"/>
          <w:sz w:val="24"/>
          <w:szCs w:val="24"/>
        </w:rPr>
        <w:t>.(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3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) 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 xml:space="preserve">din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Hotărârea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Guvern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ului nr.520/2013 </w:t>
      </w:r>
      <w:proofErr w:type="spellStart"/>
      <w:r>
        <w:rPr>
          <w:rFonts w:ascii="Trebuchet MS" w:hAnsi="Trebuchet MS" w:cs="Trebuchet MS"/>
          <w:color w:val="000000" w:themeColor="text1"/>
          <w:sz w:val="24"/>
          <w:szCs w:val="24"/>
        </w:rPr>
        <w:t>privind</w:t>
      </w:r>
      <w:proofErr w:type="spellEnd"/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 organizarea </w:t>
      </w:r>
      <w:proofErr w:type="spellStart"/>
      <w:r>
        <w:rPr>
          <w:rFonts w:ascii="Trebuchet MS" w:hAnsi="Trebuchet MS" w:cs="Trebuchet MS"/>
          <w:color w:val="000000" w:themeColor="text1"/>
          <w:sz w:val="24"/>
          <w:szCs w:val="24"/>
        </w:rPr>
        <w:t>şi</w:t>
      </w:r>
      <w:proofErr w:type="spellEnd"/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 funcţionarea Agenţiei Naţionale de Administrare Fiscală, cu modificările </w:t>
      </w:r>
      <w:proofErr w:type="spellStart"/>
      <w:r>
        <w:rPr>
          <w:rFonts w:ascii="Trebuchet MS" w:hAnsi="Trebuchet MS" w:cs="Trebuchet MS"/>
          <w:color w:val="000000" w:themeColor="text1"/>
          <w:sz w:val="24"/>
          <w:szCs w:val="24"/>
        </w:rPr>
        <w:t>şi</w:t>
      </w:r>
      <w:proofErr w:type="spellEnd"/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 completările ulterioare, 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î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n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cadrul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direcţiilor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generale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regionale ale finanţelor publice funcţionează, ca structuri</w:t>
      </w:r>
      <w:bookmarkStart w:id="0" w:name="_GoBack"/>
      <w:bookmarkEnd w:id="0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fără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personalitate juridică, administraţi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i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judeţene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/de sector ale finanţelor publice, care pot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avea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în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structură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unităţi </w:t>
      </w:r>
      <w:proofErr w:type="spellStart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fără</w:t>
      </w:r>
      <w:proofErr w:type="spellEnd"/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personalitate juridică, denumite unităţi fiscale.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 </w:t>
      </w:r>
    </w:p>
    <w:p w:rsidR="000B0C0F" w:rsidRDefault="00972506" w:rsidP="002B3119">
      <w:pPr>
        <w:spacing w:line="240" w:lineRule="auto"/>
        <w:ind w:leftChars="257" w:left="565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>
        <w:rPr>
          <w:rFonts w:ascii="Trebuchet MS" w:hAnsi="Trebuchet MS"/>
          <w:color w:val="000000" w:themeColor="text1"/>
          <w:sz w:val="24"/>
          <w:szCs w:val="24"/>
          <w:lang w:val="ro-RO"/>
        </w:rPr>
        <w:t>În temeiul acestor prevederi legale, a fost aprobată, prin</w:t>
      </w:r>
      <w:r>
        <w:rPr>
          <w:rFonts w:ascii="Trebuchet MS" w:hAnsi="Trebuchet MS"/>
          <w:color w:val="000000" w:themeColor="text1"/>
          <w:sz w:val="24"/>
          <w:szCs w:val="24"/>
        </w:rPr>
        <w:t xml:space="preserve"> Ordinul președintelui Agenţiei Naţionale de Administrare Fiscală nr.3631/2015</w:t>
      </w:r>
      <w:r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,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competenţ</w:t>
      </w:r>
      <w:proofErr w:type="spellEnd"/>
      <w:r>
        <w:rPr>
          <w:rFonts w:ascii="Trebuchet MS" w:hAnsi="Trebuchet MS"/>
          <w:color w:val="000000" w:themeColor="text1"/>
          <w:sz w:val="24"/>
          <w:szCs w:val="24"/>
          <w:lang w:val="ro-RO"/>
        </w:rPr>
        <w:t>a</w:t>
      </w:r>
      <w:r>
        <w:rPr>
          <w:rFonts w:ascii="Trebuchet MS" w:hAnsi="Trebuchet MS"/>
          <w:color w:val="000000" w:themeColor="text1"/>
          <w:sz w:val="24"/>
          <w:szCs w:val="24"/>
        </w:rPr>
        <w:t xml:space="preserve"> teritorială de administrare, </w:t>
      </w:r>
      <w:r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act normativ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prin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care unitățile administrativ-teritoriale </w:t>
      </w:r>
      <w:proofErr w:type="spellStart"/>
      <w:r>
        <w:rPr>
          <w:rFonts w:ascii="Trebuchet MS" w:hAnsi="Trebuchet MS"/>
          <w:color w:val="000000" w:themeColor="text1"/>
          <w:sz w:val="24"/>
          <w:szCs w:val="24"/>
        </w:rPr>
        <w:t>sunt</w:t>
      </w:r>
      <w:proofErr w:type="spellEnd"/>
      <w:r>
        <w:rPr>
          <w:rFonts w:ascii="Trebuchet MS" w:hAnsi="Trebuchet MS"/>
          <w:color w:val="000000" w:themeColor="text1"/>
          <w:sz w:val="24"/>
          <w:szCs w:val="24"/>
        </w:rPr>
        <w:t xml:space="preserve"> arondate </w:t>
      </w:r>
      <w:r>
        <w:rPr>
          <w:rFonts w:ascii="Trebuchet MS" w:hAnsi="Trebuchet MS"/>
          <w:color w:val="000000" w:themeColor="text1"/>
          <w:sz w:val="24"/>
          <w:szCs w:val="24"/>
          <w:lang w:val="ro-RO"/>
        </w:rPr>
        <w:t>serviciilor/birourilor fiscale.</w:t>
      </w:r>
    </w:p>
    <w:p w:rsidR="000B0C0F" w:rsidRDefault="00972506" w:rsidP="002B3119">
      <w:pPr>
        <w:spacing w:line="240" w:lineRule="auto"/>
        <w:ind w:leftChars="257" w:left="565"/>
        <w:jc w:val="both"/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</w:pP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>Ca urmare a modificărilor aduse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 Hotărârii Guvernului nr.520/2013 privind organizarea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ș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 xml:space="preserve">i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funcționarea Agenţiei Naţionale de Administrare Fiscală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 xml:space="preserve">, a fost aprobată,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prin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Ordin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>ul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președintelui Agenţiei Naţionale de Administrare Fiscală nr.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1099/2024 și prin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Ordin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>ul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 xml:space="preserve">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președintelui Agenţiei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Naţionale de Administrare Fiscală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 xml:space="preserve"> nr.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>11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00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>/2024 (acte normative cu caracter intern), noua structură organizatorică a direcțiilor generale regionale ale finanțelor publice și a municipiului București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.</w:t>
      </w:r>
    </w:p>
    <w:p w:rsidR="000B0C0F" w:rsidRDefault="00972506" w:rsidP="002B3119">
      <w:pPr>
        <w:spacing w:line="240" w:lineRule="auto"/>
        <w:ind w:leftChars="257" w:left="565"/>
        <w:jc w:val="both"/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</w:pP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Printre modificările de natură organizatorică se identifică și redenumirea, în cadrul Direcțiilor generale regionale ale finanțelor publice, </w:t>
      </w:r>
      <w:r>
        <w:rPr>
          <w:rFonts w:ascii="Trebuchet MS" w:eastAsia="Times New Roman CE" w:hAnsi="Trebuchet MS" w:cs="Trebuchet MS"/>
          <w:b/>
          <w:bCs/>
          <w:color w:val="000000" w:themeColor="text1"/>
          <w:sz w:val="24"/>
          <w:szCs w:val="24"/>
          <w:lang w:val="ro-RO"/>
        </w:rPr>
        <w:t>a</w:t>
      </w:r>
      <w:r>
        <w:rPr>
          <w:rFonts w:ascii="Trebuchet MS" w:eastAsia="Times New Roman CE" w:hAnsi="Trebuchet MS" w:cs="Trebuchet MS"/>
          <w:b/>
          <w:bCs/>
          <w:i/>
          <w:iCs/>
          <w:color w:val="000000" w:themeColor="text1"/>
          <w:sz w:val="24"/>
          <w:szCs w:val="24"/>
          <w:lang w:val="ro-RO"/>
        </w:rPr>
        <w:t xml:space="preserve"> serviciilor fiscale municipale/orășenești și a birourilor comunale</w:t>
      </w:r>
      <w:r>
        <w:rPr>
          <w:rFonts w:ascii="Trebuchet MS" w:eastAsia="Times New Roman CE" w:hAnsi="Trebuchet MS" w:cs="Trebuchet MS"/>
          <w:i/>
          <w:iCs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în </w:t>
      </w:r>
      <w:r>
        <w:rPr>
          <w:rFonts w:ascii="Trebuchet MS" w:eastAsia="Times New Roman CE" w:hAnsi="Trebuchet MS" w:cs="Trebuchet MS"/>
          <w:b/>
          <w:bCs/>
          <w:i/>
          <w:iCs/>
          <w:color w:val="000000" w:themeColor="text1"/>
          <w:sz w:val="24"/>
          <w:szCs w:val="24"/>
          <w:lang w:val="ro-RO"/>
        </w:rPr>
        <w:t xml:space="preserve">unități fiscale </w:t>
      </w:r>
      <w:r>
        <w:rPr>
          <w:rFonts w:ascii="Trebuchet MS" w:eastAsia="Times New Roman CE" w:hAnsi="Trebuchet MS" w:cs="Trebuchet MS"/>
          <w:b/>
          <w:bCs/>
          <w:i/>
          <w:iCs/>
          <w:color w:val="000000" w:themeColor="text1"/>
          <w:sz w:val="24"/>
          <w:szCs w:val="24"/>
          <w:lang w:val="ro-RO"/>
        </w:rPr>
        <w:t>municipale/orășenești/comunale.</w:t>
      </w:r>
      <w:r>
        <w:rPr>
          <w:rFonts w:ascii="Trebuchet MS" w:eastAsia="Times New Roman CE" w:hAnsi="Trebuchet MS" w:cs="Trebuchet MS"/>
          <w:i/>
          <w:iCs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>De asemenea au fost reorganizate Serviciile fiscale orășenești Săcele, Codlea și Gheorgheni în unități fiscale municipale.</w:t>
      </w:r>
    </w:p>
    <w:p w:rsidR="000B0C0F" w:rsidRDefault="00972506" w:rsidP="002B3119">
      <w:pPr>
        <w:spacing w:after="0" w:line="240" w:lineRule="auto"/>
        <w:ind w:leftChars="257" w:left="565"/>
        <w:jc w:val="both"/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</w:pP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Având în vedere cele prezentate, este necesară modificarea anexei la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 Ordinul președintelui Agenţiei N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aţionale de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Administrare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 xml:space="preserve">Fiscală nr.3631/2015 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</w:rPr>
        <w:t>pentru aprobarea competenţei teritoriale de administrare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 xml:space="preserve">, cu </w:t>
      </w:r>
      <w:r>
        <w:rPr>
          <w:rFonts w:ascii="Trebuchet MS" w:hAnsi="Trebuchet MS" w:cs="Trebuchet MS"/>
          <w:color w:val="000000" w:themeColor="text1"/>
          <w:sz w:val="24"/>
          <w:szCs w:val="24"/>
        </w:rPr>
        <w:t>modificările ulterioare</w:t>
      </w:r>
      <w:r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  <w:t>, pentru a reflecta redenumirea structurilor fiscale vizate de modificările de natură organizatorică</w:t>
      </w:r>
      <w:r>
        <w:rPr>
          <w:rFonts w:ascii="Trebuchet MS" w:eastAsia="Times New Roman CE" w:hAnsi="Trebuchet MS" w:cs="Trebuchet MS"/>
          <w:color w:val="000000" w:themeColor="text1"/>
          <w:sz w:val="24"/>
          <w:szCs w:val="24"/>
          <w:lang w:val="ro-RO"/>
        </w:rPr>
        <w:t>.</w:t>
      </w:r>
    </w:p>
    <w:p w:rsidR="000B0C0F" w:rsidRDefault="000B0C0F" w:rsidP="002B3119">
      <w:pPr>
        <w:spacing w:after="0" w:line="240" w:lineRule="auto"/>
        <w:ind w:leftChars="257" w:left="565"/>
        <w:jc w:val="both"/>
        <w:rPr>
          <w:rFonts w:ascii="Trebuchet MS" w:hAnsi="Trebuchet MS" w:cs="Trebuchet MS"/>
          <w:color w:val="000000" w:themeColor="text1"/>
          <w:sz w:val="24"/>
          <w:szCs w:val="24"/>
          <w:lang w:val="ro-RO"/>
        </w:rPr>
      </w:pPr>
    </w:p>
    <w:sectPr w:rsidR="000B0C0F" w:rsidSect="002B3119">
      <w:headerReference w:type="default" r:id="rId10"/>
      <w:footerReference w:type="default" r:id="rId11"/>
      <w:pgSz w:w="11906" w:h="16838"/>
      <w:pgMar w:top="1106" w:right="849" w:bottom="1212" w:left="1267" w:header="0" w:footer="280" w:gutter="0"/>
      <w:cols w:space="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506" w:rsidRDefault="00972506">
      <w:pPr>
        <w:spacing w:after="0" w:line="240" w:lineRule="auto"/>
      </w:pPr>
      <w:r>
        <w:separator/>
      </w:r>
    </w:p>
  </w:endnote>
  <w:endnote w:type="continuationSeparator" w:id="0">
    <w:p w:rsidR="00972506" w:rsidRDefault="0097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CE">
    <w:altName w:val="Times New Roman"/>
    <w:panose1 w:val="02020603050405020304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2104826"/>
    </w:sdtPr>
    <w:sdtEndPr/>
    <w:sdtContent>
      <w:p w:rsidR="000B0C0F" w:rsidRDefault="00972506">
        <w:pPr>
          <w:pStyle w:val="Footer"/>
          <w:jc w:val="right"/>
        </w:pPr>
        <w:r>
          <w:t xml:space="preserve">Page 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PAGE</w:instrText>
        </w:r>
        <w:r>
          <w:rPr>
            <w:bCs/>
            <w:sz w:val="24"/>
            <w:szCs w:val="24"/>
          </w:rPr>
          <w:fldChar w:fldCharType="separate"/>
        </w:r>
        <w:r w:rsidR="002B3119">
          <w:rPr>
            <w:bCs/>
            <w:noProof/>
            <w:sz w:val="24"/>
            <w:szCs w:val="24"/>
          </w:rPr>
          <w:t>1</w:t>
        </w:r>
        <w:r>
          <w:rPr>
            <w:bCs/>
            <w:sz w:val="24"/>
            <w:szCs w:val="24"/>
          </w:rPr>
          <w:fldChar w:fldCharType="end"/>
        </w:r>
        <w:r>
          <w:rPr>
            <w:bCs/>
            <w:sz w:val="24"/>
            <w:szCs w:val="24"/>
          </w:rPr>
          <w:t>/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NUMPAGES</w:instrText>
        </w:r>
        <w:r>
          <w:rPr>
            <w:bCs/>
            <w:sz w:val="24"/>
            <w:szCs w:val="24"/>
          </w:rPr>
          <w:fldChar w:fldCharType="separate"/>
        </w:r>
        <w:r w:rsidR="002B3119">
          <w:rPr>
            <w:bCs/>
            <w:noProof/>
            <w:sz w:val="24"/>
            <w:szCs w:val="24"/>
          </w:rPr>
          <w:t>1</w:t>
        </w:r>
        <w:r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506" w:rsidRDefault="00972506">
      <w:pPr>
        <w:spacing w:after="0" w:line="240" w:lineRule="auto"/>
      </w:pPr>
      <w:r>
        <w:separator/>
      </w:r>
    </w:p>
  </w:footnote>
  <w:footnote w:type="continuationSeparator" w:id="0">
    <w:p w:rsidR="00972506" w:rsidRDefault="0097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C0F" w:rsidRDefault="00972506">
    <w:pPr>
      <w:pStyle w:val="Header"/>
    </w:pPr>
    <w:r>
      <w:rPr>
        <w:sz w:val="1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01" o:spid="_x0000_s2049" type="#_x0000_t136" style="position:absolute;margin-left:0;margin-top:0;width:446.05pt;height:141.2pt;rotation:-45;z-index:-251658752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Microsoft YaHei&quot;" trim="t" fitpath="t" string="PROIECT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0997"/>
    <w:rsid w:val="000451D9"/>
    <w:rsid w:val="000469F6"/>
    <w:rsid w:val="00090F3B"/>
    <w:rsid w:val="000A55A6"/>
    <w:rsid w:val="000B0C0F"/>
    <w:rsid w:val="000C2104"/>
    <w:rsid w:val="000E2F2A"/>
    <w:rsid w:val="000E514A"/>
    <w:rsid w:val="00144416"/>
    <w:rsid w:val="00151B4B"/>
    <w:rsid w:val="00172A27"/>
    <w:rsid w:val="0019071A"/>
    <w:rsid w:val="002150DC"/>
    <w:rsid w:val="002354B9"/>
    <w:rsid w:val="002B30A0"/>
    <w:rsid w:val="002B3119"/>
    <w:rsid w:val="002D0592"/>
    <w:rsid w:val="00321C8A"/>
    <w:rsid w:val="00353EA8"/>
    <w:rsid w:val="00361D54"/>
    <w:rsid w:val="00371BB6"/>
    <w:rsid w:val="003A11C4"/>
    <w:rsid w:val="003C1BF8"/>
    <w:rsid w:val="004406EC"/>
    <w:rsid w:val="00484828"/>
    <w:rsid w:val="004C7829"/>
    <w:rsid w:val="004F26CD"/>
    <w:rsid w:val="00530442"/>
    <w:rsid w:val="00532592"/>
    <w:rsid w:val="005728C2"/>
    <w:rsid w:val="005979DC"/>
    <w:rsid w:val="005B5709"/>
    <w:rsid w:val="006055A5"/>
    <w:rsid w:val="0066571C"/>
    <w:rsid w:val="00693252"/>
    <w:rsid w:val="006B0F2D"/>
    <w:rsid w:val="006D3629"/>
    <w:rsid w:val="006F4A32"/>
    <w:rsid w:val="007278B3"/>
    <w:rsid w:val="007556E2"/>
    <w:rsid w:val="007F5D0E"/>
    <w:rsid w:val="008004C9"/>
    <w:rsid w:val="00820ACC"/>
    <w:rsid w:val="008544F9"/>
    <w:rsid w:val="008E2465"/>
    <w:rsid w:val="00972506"/>
    <w:rsid w:val="00975395"/>
    <w:rsid w:val="009D702A"/>
    <w:rsid w:val="009E099C"/>
    <w:rsid w:val="00A07D46"/>
    <w:rsid w:val="00A1255A"/>
    <w:rsid w:val="00A17A59"/>
    <w:rsid w:val="00A64600"/>
    <w:rsid w:val="00A903B9"/>
    <w:rsid w:val="00B0140D"/>
    <w:rsid w:val="00B06643"/>
    <w:rsid w:val="00B41767"/>
    <w:rsid w:val="00B501B8"/>
    <w:rsid w:val="00B529B3"/>
    <w:rsid w:val="00B960F8"/>
    <w:rsid w:val="00BD3E3B"/>
    <w:rsid w:val="00BE5298"/>
    <w:rsid w:val="00C4379D"/>
    <w:rsid w:val="00CA6483"/>
    <w:rsid w:val="00CC4C5A"/>
    <w:rsid w:val="00CD626F"/>
    <w:rsid w:val="00D06904"/>
    <w:rsid w:val="00D16220"/>
    <w:rsid w:val="00D5646F"/>
    <w:rsid w:val="00D86057"/>
    <w:rsid w:val="00DB4988"/>
    <w:rsid w:val="00DD5F7A"/>
    <w:rsid w:val="00E1239E"/>
    <w:rsid w:val="00E14F1C"/>
    <w:rsid w:val="00E261D2"/>
    <w:rsid w:val="00E869DD"/>
    <w:rsid w:val="00EA7055"/>
    <w:rsid w:val="00EF336F"/>
    <w:rsid w:val="00F01F7B"/>
    <w:rsid w:val="00FC706C"/>
    <w:rsid w:val="00FD414D"/>
    <w:rsid w:val="01B5382E"/>
    <w:rsid w:val="02446D84"/>
    <w:rsid w:val="04613E4E"/>
    <w:rsid w:val="046A2D5D"/>
    <w:rsid w:val="048C090A"/>
    <w:rsid w:val="050D4C51"/>
    <w:rsid w:val="05B3112D"/>
    <w:rsid w:val="05D35300"/>
    <w:rsid w:val="061E259A"/>
    <w:rsid w:val="06CF0052"/>
    <w:rsid w:val="079649FC"/>
    <w:rsid w:val="085D2FC7"/>
    <w:rsid w:val="08BE4E10"/>
    <w:rsid w:val="08E642E2"/>
    <w:rsid w:val="09412CF1"/>
    <w:rsid w:val="096A0DD6"/>
    <w:rsid w:val="097364AE"/>
    <w:rsid w:val="0A143258"/>
    <w:rsid w:val="0A68477C"/>
    <w:rsid w:val="0A75672A"/>
    <w:rsid w:val="0C011D3F"/>
    <w:rsid w:val="0C497349"/>
    <w:rsid w:val="0C986435"/>
    <w:rsid w:val="0D54299D"/>
    <w:rsid w:val="0DD92C15"/>
    <w:rsid w:val="0E9944F7"/>
    <w:rsid w:val="0EAC038C"/>
    <w:rsid w:val="0EC0644A"/>
    <w:rsid w:val="0ECE126F"/>
    <w:rsid w:val="0EE94253"/>
    <w:rsid w:val="0F66343C"/>
    <w:rsid w:val="0FBD6589"/>
    <w:rsid w:val="0FE60AFD"/>
    <w:rsid w:val="0FE8037E"/>
    <w:rsid w:val="108F67EF"/>
    <w:rsid w:val="110F3235"/>
    <w:rsid w:val="11711CDF"/>
    <w:rsid w:val="120E0EA9"/>
    <w:rsid w:val="130E68F7"/>
    <w:rsid w:val="13744EF2"/>
    <w:rsid w:val="13907FE8"/>
    <w:rsid w:val="13E24EDA"/>
    <w:rsid w:val="141B52D3"/>
    <w:rsid w:val="14527765"/>
    <w:rsid w:val="14753199"/>
    <w:rsid w:val="155A5E77"/>
    <w:rsid w:val="158D32E2"/>
    <w:rsid w:val="158D3865"/>
    <w:rsid w:val="163009A3"/>
    <w:rsid w:val="16553731"/>
    <w:rsid w:val="17143B4B"/>
    <w:rsid w:val="1719700E"/>
    <w:rsid w:val="176B52EF"/>
    <w:rsid w:val="17D17AB1"/>
    <w:rsid w:val="18276088"/>
    <w:rsid w:val="195F069B"/>
    <w:rsid w:val="1A0560B6"/>
    <w:rsid w:val="1A233B0A"/>
    <w:rsid w:val="1A46143E"/>
    <w:rsid w:val="1A861454"/>
    <w:rsid w:val="1ABF73FC"/>
    <w:rsid w:val="1AFA266B"/>
    <w:rsid w:val="1B1963A4"/>
    <w:rsid w:val="1B33636E"/>
    <w:rsid w:val="1B4F2268"/>
    <w:rsid w:val="1B656F04"/>
    <w:rsid w:val="1B6F1FAC"/>
    <w:rsid w:val="1BC43503"/>
    <w:rsid w:val="1BDF77D1"/>
    <w:rsid w:val="1BFF6E30"/>
    <w:rsid w:val="1C0A790C"/>
    <w:rsid w:val="1C2D32B8"/>
    <w:rsid w:val="1CD270FB"/>
    <w:rsid w:val="1F275D88"/>
    <w:rsid w:val="1F50442D"/>
    <w:rsid w:val="1F837771"/>
    <w:rsid w:val="20572476"/>
    <w:rsid w:val="208D7B4B"/>
    <w:rsid w:val="20B37CF8"/>
    <w:rsid w:val="216A7EC3"/>
    <w:rsid w:val="217A0558"/>
    <w:rsid w:val="21E740D7"/>
    <w:rsid w:val="22074777"/>
    <w:rsid w:val="222F777D"/>
    <w:rsid w:val="22514E34"/>
    <w:rsid w:val="22B05799"/>
    <w:rsid w:val="22DD4BF9"/>
    <w:rsid w:val="22FC44DA"/>
    <w:rsid w:val="233276FD"/>
    <w:rsid w:val="23AC3CCA"/>
    <w:rsid w:val="24365C93"/>
    <w:rsid w:val="24BE13EF"/>
    <w:rsid w:val="24F93D2F"/>
    <w:rsid w:val="252429CB"/>
    <w:rsid w:val="2533705B"/>
    <w:rsid w:val="260E346C"/>
    <w:rsid w:val="263F3D81"/>
    <w:rsid w:val="266C1D58"/>
    <w:rsid w:val="278619AC"/>
    <w:rsid w:val="286B27AE"/>
    <w:rsid w:val="29434497"/>
    <w:rsid w:val="29A87002"/>
    <w:rsid w:val="29C87116"/>
    <w:rsid w:val="29CF0159"/>
    <w:rsid w:val="29ED7443"/>
    <w:rsid w:val="2A427FA3"/>
    <w:rsid w:val="2A786266"/>
    <w:rsid w:val="2AAF01B1"/>
    <w:rsid w:val="2B8220C9"/>
    <w:rsid w:val="2BAD5547"/>
    <w:rsid w:val="2C7432C5"/>
    <w:rsid w:val="2C912B1A"/>
    <w:rsid w:val="2C9D230E"/>
    <w:rsid w:val="2DA1538C"/>
    <w:rsid w:val="2E5E6BFA"/>
    <w:rsid w:val="2E9B516A"/>
    <w:rsid w:val="2EEB2F77"/>
    <w:rsid w:val="2F476E82"/>
    <w:rsid w:val="2FCB4BA5"/>
    <w:rsid w:val="3170478E"/>
    <w:rsid w:val="319F7E08"/>
    <w:rsid w:val="31ED127D"/>
    <w:rsid w:val="32A34E35"/>
    <w:rsid w:val="331F6E53"/>
    <w:rsid w:val="336B7857"/>
    <w:rsid w:val="33AC5DD2"/>
    <w:rsid w:val="34593AB9"/>
    <w:rsid w:val="34D6505C"/>
    <w:rsid w:val="35532073"/>
    <w:rsid w:val="358C2A7C"/>
    <w:rsid w:val="36774702"/>
    <w:rsid w:val="36ED4BFB"/>
    <w:rsid w:val="37423A38"/>
    <w:rsid w:val="385B7679"/>
    <w:rsid w:val="387657E4"/>
    <w:rsid w:val="39E27592"/>
    <w:rsid w:val="3B0D5AD5"/>
    <w:rsid w:val="3B6162A6"/>
    <w:rsid w:val="3BA2452B"/>
    <w:rsid w:val="3BA376BC"/>
    <w:rsid w:val="3BB239BC"/>
    <w:rsid w:val="3BDF2F4F"/>
    <w:rsid w:val="3C5052DC"/>
    <w:rsid w:val="3D0805A5"/>
    <w:rsid w:val="3D345C1C"/>
    <w:rsid w:val="3E547AF9"/>
    <w:rsid w:val="3E5E2B25"/>
    <w:rsid w:val="3EB96570"/>
    <w:rsid w:val="3F2E1232"/>
    <w:rsid w:val="3F6E5B70"/>
    <w:rsid w:val="409534F9"/>
    <w:rsid w:val="4107790E"/>
    <w:rsid w:val="41A8449C"/>
    <w:rsid w:val="423D56E0"/>
    <w:rsid w:val="425F0A65"/>
    <w:rsid w:val="42A2349D"/>
    <w:rsid w:val="42EB1BC0"/>
    <w:rsid w:val="43420776"/>
    <w:rsid w:val="435C1C97"/>
    <w:rsid w:val="436B0846"/>
    <w:rsid w:val="43B674A5"/>
    <w:rsid w:val="44271D8A"/>
    <w:rsid w:val="44A06941"/>
    <w:rsid w:val="4555688D"/>
    <w:rsid w:val="45C77E6D"/>
    <w:rsid w:val="464B5B21"/>
    <w:rsid w:val="46C742DA"/>
    <w:rsid w:val="484B0E09"/>
    <w:rsid w:val="48CB5C61"/>
    <w:rsid w:val="49110452"/>
    <w:rsid w:val="4A8F759B"/>
    <w:rsid w:val="4AAD7A6A"/>
    <w:rsid w:val="4C5C7B50"/>
    <w:rsid w:val="4C714702"/>
    <w:rsid w:val="4CCE3822"/>
    <w:rsid w:val="4CF84593"/>
    <w:rsid w:val="4D555E2E"/>
    <w:rsid w:val="4D5D6007"/>
    <w:rsid w:val="4EC0205A"/>
    <w:rsid w:val="4F7779F7"/>
    <w:rsid w:val="4FD824A9"/>
    <w:rsid w:val="504D6D92"/>
    <w:rsid w:val="508B1287"/>
    <w:rsid w:val="51120B86"/>
    <w:rsid w:val="51E246CA"/>
    <w:rsid w:val="53022288"/>
    <w:rsid w:val="5351029B"/>
    <w:rsid w:val="53E4251B"/>
    <w:rsid w:val="54A82C92"/>
    <w:rsid w:val="54DB3699"/>
    <w:rsid w:val="55332966"/>
    <w:rsid w:val="55B00940"/>
    <w:rsid w:val="55E93F70"/>
    <w:rsid w:val="566610F5"/>
    <w:rsid w:val="56736F24"/>
    <w:rsid w:val="56783527"/>
    <w:rsid w:val="56D06CB4"/>
    <w:rsid w:val="56FC5678"/>
    <w:rsid w:val="57C6052D"/>
    <w:rsid w:val="57DB269B"/>
    <w:rsid w:val="580A736C"/>
    <w:rsid w:val="58A53EC5"/>
    <w:rsid w:val="59643181"/>
    <w:rsid w:val="59FB1F9F"/>
    <w:rsid w:val="5A26048B"/>
    <w:rsid w:val="5BBC0221"/>
    <w:rsid w:val="5BF129FE"/>
    <w:rsid w:val="5C2847DF"/>
    <w:rsid w:val="5C8E2E08"/>
    <w:rsid w:val="5D164360"/>
    <w:rsid w:val="5D3D53B3"/>
    <w:rsid w:val="5D6E0D42"/>
    <w:rsid w:val="5DB84827"/>
    <w:rsid w:val="5DF74699"/>
    <w:rsid w:val="600073BD"/>
    <w:rsid w:val="606D26B3"/>
    <w:rsid w:val="61A05A10"/>
    <w:rsid w:val="61A8290A"/>
    <w:rsid w:val="62062EA2"/>
    <w:rsid w:val="627B2486"/>
    <w:rsid w:val="628014FD"/>
    <w:rsid w:val="637417B5"/>
    <w:rsid w:val="63A2296E"/>
    <w:rsid w:val="63A4057F"/>
    <w:rsid w:val="63AB3A08"/>
    <w:rsid w:val="64AB6860"/>
    <w:rsid w:val="65211582"/>
    <w:rsid w:val="65346186"/>
    <w:rsid w:val="65706779"/>
    <w:rsid w:val="65800FFF"/>
    <w:rsid w:val="658C5614"/>
    <w:rsid w:val="659C1DBC"/>
    <w:rsid w:val="660139E7"/>
    <w:rsid w:val="665E55D1"/>
    <w:rsid w:val="668E5652"/>
    <w:rsid w:val="674609F4"/>
    <w:rsid w:val="68307D69"/>
    <w:rsid w:val="68A20015"/>
    <w:rsid w:val="690B0B9C"/>
    <w:rsid w:val="691C2EEF"/>
    <w:rsid w:val="69346E75"/>
    <w:rsid w:val="69441ABD"/>
    <w:rsid w:val="694B42D7"/>
    <w:rsid w:val="6991712F"/>
    <w:rsid w:val="6A243E58"/>
    <w:rsid w:val="6A925AC3"/>
    <w:rsid w:val="6B03747A"/>
    <w:rsid w:val="6B325929"/>
    <w:rsid w:val="6B5C1502"/>
    <w:rsid w:val="6B8A5D7D"/>
    <w:rsid w:val="6BCF7446"/>
    <w:rsid w:val="6BF42CC8"/>
    <w:rsid w:val="6C3A65F2"/>
    <w:rsid w:val="6C9261B3"/>
    <w:rsid w:val="6D327BAF"/>
    <w:rsid w:val="6D495883"/>
    <w:rsid w:val="6D633D1C"/>
    <w:rsid w:val="6D704300"/>
    <w:rsid w:val="6E013A41"/>
    <w:rsid w:val="6E471F31"/>
    <w:rsid w:val="6EAE0013"/>
    <w:rsid w:val="6F6F2327"/>
    <w:rsid w:val="70015CD0"/>
    <w:rsid w:val="70975492"/>
    <w:rsid w:val="71004F07"/>
    <w:rsid w:val="72E04D06"/>
    <w:rsid w:val="744276F9"/>
    <w:rsid w:val="757B3AF2"/>
    <w:rsid w:val="75EA572F"/>
    <w:rsid w:val="767D7B9E"/>
    <w:rsid w:val="76B4183D"/>
    <w:rsid w:val="779B73D7"/>
    <w:rsid w:val="779D4A34"/>
    <w:rsid w:val="78571EFD"/>
    <w:rsid w:val="78755A33"/>
    <w:rsid w:val="78E56D57"/>
    <w:rsid w:val="796140E6"/>
    <w:rsid w:val="79AC7923"/>
    <w:rsid w:val="7A8F06B1"/>
    <w:rsid w:val="7AED109E"/>
    <w:rsid w:val="7B0E3DC2"/>
    <w:rsid w:val="7CF2633F"/>
    <w:rsid w:val="7D9B57EE"/>
    <w:rsid w:val="7DBA20F6"/>
    <w:rsid w:val="7DEC6562"/>
    <w:rsid w:val="7E304710"/>
    <w:rsid w:val="7E6A1AA3"/>
    <w:rsid w:val="7EBE3080"/>
    <w:rsid w:val="7F6537B2"/>
    <w:rsid w:val="7F6668CD"/>
    <w:rsid w:val="7FB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5:docId w15:val="{FD1DE898-F896-433E-AC9E-F9E59601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InternetLink">
    <w:name w:val="Internet 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  <w:style w:type="paragraph" w:customStyle="1" w:styleId="DefaultText">
    <w:name w:val="Default Text"/>
    <w:basedOn w:val="Normal"/>
    <w:qFormat/>
    <w:pPr>
      <w:autoSpaceDE w:val="0"/>
      <w:autoSpaceDN w:val="0"/>
      <w:adjustRightInd w:val="0"/>
    </w:pPr>
  </w:style>
  <w:style w:type="paragraph" w:customStyle="1" w:styleId="western">
    <w:name w:val="western"/>
    <w:basedOn w:val="Normal"/>
    <w:qFormat/>
    <w:pPr>
      <w:spacing w:before="280" w:after="144" w:line="288" w:lineRule="auto"/>
    </w:pPr>
    <w:rPr>
      <w:color w:val="000000"/>
    </w:rPr>
  </w:style>
  <w:style w:type="paragraph" w:customStyle="1" w:styleId="DefaultText11">
    <w:name w:val="Default Text:1:1"/>
    <w:basedOn w:val="Normal"/>
    <w:qFormat/>
    <w:pPr>
      <w:autoSpaceDE w:val="0"/>
      <w:autoSpaceDN w:val="0"/>
      <w:adjustRightInd w:val="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rvts8">
    <w:name w:val="rvts8"/>
    <w:basedOn w:val="DefaultParagraphFont"/>
    <w:qFormat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Theme="minorHAnsi" w:eastAsiaTheme="minorHAnsi" w:hAnsiTheme="minorHAnsi" w:cstheme="minorBidi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alnttl">
    <w:name w:val="s_aln_ttl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  <w:style w:type="character" w:customStyle="1" w:styleId="salnbdy">
    <w:name w:val="s_aln_bdy"/>
    <w:basedOn w:val="DefaultParagraphFont"/>
    <w:qFormat/>
  </w:style>
  <w:style w:type="character" w:customStyle="1" w:styleId="sden">
    <w:name w:val="s_den"/>
    <w:basedOn w:val="DefaultParagraphFont"/>
    <w:qFormat/>
  </w:style>
  <w:style w:type="character" w:customStyle="1" w:styleId="shdr">
    <w:name w:val="s_hd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7A33F-0A2C-48E2-B10B-E7BB4D29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CRISTIAN-NICOLAE MARIN</dc:creator>
  <cp:lastModifiedBy>IONELA GHENCEA</cp:lastModifiedBy>
  <cp:revision>2</cp:revision>
  <cp:lastPrinted>2024-07-29T07:54:00Z</cp:lastPrinted>
  <dcterms:created xsi:type="dcterms:W3CDTF">2024-10-16T08:10:00Z</dcterms:created>
  <dcterms:modified xsi:type="dcterms:W3CDTF">2024-10-16T08:10:00Z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1033-10.2.0.7646</vt:lpwstr>
  </property>
  <property fmtid="{D5CDD505-2E9C-101B-9397-08002B2CF9AE}" pid="10" name="ICV">
    <vt:lpwstr>8F8BB683DE004AEFA1E8ECDD75676FF3</vt:lpwstr>
  </property>
</Properties>
</file>